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3425" w14:textId="77777777" w:rsidR="00035A51" w:rsidRDefault="00035A51">
      <w:pPr>
        <w:rPr>
          <w:rFonts w:ascii="Times New Roman" w:hAnsi="Times New Roman" w:cs="Times New Roman"/>
        </w:rPr>
      </w:pPr>
    </w:p>
    <w:p w14:paraId="6F2E6F91" w14:textId="77777777" w:rsidR="00035A51" w:rsidRDefault="00000000">
      <w:r>
        <w:rPr>
          <w:rFonts w:ascii="Times New Roman" w:hAnsi="Times New Roman" w:cs="Times New Roman"/>
          <w:b/>
        </w:rPr>
        <w:t>Ettepanekud ü</w:t>
      </w:r>
      <w:r>
        <w:rPr>
          <w:rFonts w:ascii="Times New Roman" w:hAnsi="Times New Roman" w:cs="Times New Roman"/>
          <w:b/>
          <w:bCs/>
        </w:rPr>
        <w:t>leriigilisse planeeringusse „Eesti 2050“</w:t>
      </w:r>
    </w:p>
    <w:p w14:paraId="637AFEE4" w14:textId="77777777" w:rsidR="00035A51" w:rsidRDefault="00000000">
      <w:pPr>
        <w:rPr>
          <w:rFonts w:ascii="Times New Roman" w:hAnsi="Times New Roman" w:cs="Times New Roman"/>
        </w:rPr>
      </w:pPr>
      <w:r>
        <w:rPr>
          <w:rFonts w:ascii="Times New Roman" w:hAnsi="Times New Roman" w:cs="Times New Roman"/>
        </w:rPr>
        <w:t>SA Võrumaa Arenduskeskus esitab üleriigilise planeeringu „Eesti 2050“ kohta järgmised ettepanekud.</w:t>
      </w:r>
    </w:p>
    <w:p w14:paraId="00915C5B" w14:textId="77777777" w:rsidR="00035A51" w:rsidRDefault="00000000">
      <w:pPr>
        <w:pStyle w:val="Loendilik"/>
        <w:numPr>
          <w:ilvl w:val="0"/>
          <w:numId w:val="2"/>
        </w:numPr>
        <w:rPr>
          <w:rFonts w:ascii="Times New Roman" w:hAnsi="Times New Roman" w:cs="Times New Roman"/>
        </w:rPr>
      </w:pPr>
      <w:r>
        <w:rPr>
          <w:rFonts w:ascii="Times New Roman" w:hAnsi="Times New Roman" w:cs="Times New Roman"/>
        </w:rPr>
        <w:t>Punkti 3.1 „Julgeolek ja riigikaitse kui riigi ruumilise toimimise alustala“ punktis 11 on märgitud, et Kirde- ja Kagu-Eesti piiriäärsetele aladele kuni 30 km kaugusel piirist ei rajata üldjuhul üleriigiliselt kriitilise tähtsusega taristuobjekte.</w:t>
      </w:r>
    </w:p>
    <w:p w14:paraId="6390B545" w14:textId="77777777" w:rsidR="00035A51" w:rsidRDefault="00000000">
      <w:pPr>
        <w:ind w:left="708"/>
        <w:rPr>
          <w:rFonts w:ascii="Times New Roman" w:hAnsi="Times New Roman" w:cs="Times New Roman"/>
        </w:rPr>
      </w:pPr>
      <w:r>
        <w:rPr>
          <w:rFonts w:ascii="Times New Roman" w:hAnsi="Times New Roman" w:cs="Times New Roman"/>
        </w:rPr>
        <w:t>Ettepanek: Sellise käsitluse korral tuleb üleriigilises planeeringus kirjeldada ka riiklikke tasakaalustavaid meetmeid, mida kavandatakse Kirde- ja Kagu-Eesti piiriäärsetes piirkondades ettevõtluse, elukeskkonna, ühenduste, avalike teenuste kättesaadavuse ning elanikkonna sotsiaalmajandusliku toimetuleku tagamiseks.</w:t>
      </w:r>
    </w:p>
    <w:p w14:paraId="41870A55" w14:textId="77777777" w:rsidR="00035A51" w:rsidRDefault="00000000">
      <w:pPr>
        <w:ind w:left="708"/>
      </w:pPr>
      <w:r>
        <w:rPr>
          <w:rFonts w:ascii="Times New Roman" w:hAnsi="Times New Roman" w:cs="Times New Roman"/>
        </w:rPr>
        <w:t>Põhjendus: Regionaal- ja Põllumajandusministeeriumi koostatud raporti „Idapiirialade asukohast tulenevad väljakutsed ja lahendusettepanekud“ (</w:t>
      </w:r>
      <w:hyperlink r:id="rId7" w:history="1">
        <w:r>
          <w:rPr>
            <w:rStyle w:val="Hperlink"/>
            <w:rFonts w:ascii="Times New Roman" w:hAnsi="Times New Roman" w:cs="Times New Roman"/>
          </w:rPr>
          <w:t>https://agri.ee/uudised/idapiirialade-raport-rahvastikukadu-nouab-riigilt-selget-fookust-ja-terviklikku-lahenemist</w:t>
        </w:r>
      </w:hyperlink>
      <w:r>
        <w:rPr>
          <w:rFonts w:ascii="Times New Roman" w:hAnsi="Times New Roman" w:cs="Times New Roman"/>
        </w:rPr>
        <w:t xml:space="preserve">) kohaselt ei ole idapiirialade küsimus üksnes regionaalarengu probleem, vaid on otseselt seotud Eesti julgeoleku, kriisikindluse ja ühiskondliku vastupanuvõimega. Raportis rõhutatakse, et rahvastikukadu, katkenud majandussidemed, muutunud julgeolekuolukord, nõrgenev ettevõtluskeskkond ja piirkondade negatiivne kuvand vähendavad piiriäärsete alade võimet kriisidele ja julgeolekuohtudele reageerida. Kui riik seab samadele piirkondadele </w:t>
      </w:r>
      <w:proofErr w:type="spellStart"/>
      <w:r>
        <w:rPr>
          <w:rFonts w:ascii="Times New Roman" w:hAnsi="Times New Roman" w:cs="Times New Roman"/>
        </w:rPr>
        <w:t>riigikaitselistel</w:t>
      </w:r>
      <w:proofErr w:type="spellEnd"/>
      <w:r>
        <w:rPr>
          <w:rFonts w:ascii="Times New Roman" w:hAnsi="Times New Roman" w:cs="Times New Roman"/>
        </w:rPr>
        <w:t xml:space="preserve"> kaalutlustel täiendavaid ruumilisi piiranguid, sealhulgas piiranguid kriitilise tähtsusega taristu rajamisele, peab planeering näitama ka seda, kuidas maandatakse nende piirangute kumulatiivset mõju kohalikele elanikele, ettevõtjatele ja omavalitsustele.</w:t>
      </w:r>
    </w:p>
    <w:p w14:paraId="74A44441" w14:textId="77777777" w:rsidR="00035A51" w:rsidRDefault="00000000">
      <w:pPr>
        <w:pStyle w:val="Loendilik"/>
        <w:numPr>
          <w:ilvl w:val="0"/>
          <w:numId w:val="1"/>
        </w:numPr>
        <w:rPr>
          <w:rFonts w:ascii="Times New Roman" w:hAnsi="Times New Roman" w:cs="Times New Roman"/>
        </w:rPr>
      </w:pPr>
      <w:r>
        <w:rPr>
          <w:rFonts w:ascii="Times New Roman" w:hAnsi="Times New Roman" w:cs="Times New Roman"/>
        </w:rPr>
        <w:t xml:space="preserve">Punktis 12 on märgitud, et </w:t>
      </w:r>
      <w:proofErr w:type="spellStart"/>
      <w:r>
        <w:rPr>
          <w:rFonts w:ascii="Times New Roman" w:hAnsi="Times New Roman" w:cs="Times New Roman"/>
        </w:rPr>
        <w:t>riigikaitseliseks</w:t>
      </w:r>
      <w:proofErr w:type="spellEnd"/>
      <w:r>
        <w:rPr>
          <w:rFonts w:ascii="Times New Roman" w:hAnsi="Times New Roman" w:cs="Times New Roman"/>
        </w:rPr>
        <w:t xml:space="preserve"> kriisiolukorraks, sh </w:t>
      </w:r>
      <w:proofErr w:type="spellStart"/>
      <w:r>
        <w:rPr>
          <w:rFonts w:ascii="Times New Roman" w:hAnsi="Times New Roman" w:cs="Times New Roman"/>
        </w:rPr>
        <w:t>riigikaitseliseks</w:t>
      </w:r>
      <w:proofErr w:type="spellEnd"/>
      <w:r>
        <w:rPr>
          <w:rFonts w:ascii="Times New Roman" w:hAnsi="Times New Roman" w:cs="Times New Roman"/>
        </w:rPr>
        <w:t xml:space="preserve"> olukorraks valmistumisel on iseseisva kaitsevõime ja kollektiivkaitse seisukohalt oluline maal, õhus ja merel tagada tõhusaks väljaõppeks vajalikud harjutusalad. Harjutusaladega kaasneb tavapäraselt häiring väljaspool ala, mida võimaluste piires leevendatakse. Samaaegselt ajal võivad esineda ka positiivsed mõjud piirkonnale (nt. esmateenuste võrgustiku arenemine, elamuturu elavnemine ja taristu väljaehitamine või kaasajastamine).</w:t>
      </w:r>
    </w:p>
    <w:p w14:paraId="5CDB6899" w14:textId="77777777" w:rsidR="00035A51" w:rsidRDefault="00035A51">
      <w:pPr>
        <w:pStyle w:val="Loendilik"/>
        <w:rPr>
          <w:rFonts w:ascii="Times New Roman" w:hAnsi="Times New Roman" w:cs="Times New Roman"/>
        </w:rPr>
      </w:pPr>
    </w:p>
    <w:p w14:paraId="6848A081" w14:textId="77777777" w:rsidR="00035A51" w:rsidRDefault="00000000">
      <w:pPr>
        <w:pStyle w:val="Loendilik"/>
        <w:rPr>
          <w:rFonts w:ascii="Times New Roman" w:hAnsi="Times New Roman" w:cs="Times New Roman"/>
        </w:rPr>
      </w:pPr>
      <w:r>
        <w:rPr>
          <w:rFonts w:ascii="Times New Roman" w:hAnsi="Times New Roman" w:cs="Times New Roman"/>
        </w:rPr>
        <w:t>Ettepanek: Sõnastada viimane lause järgmiselt: „Samal ajal kavandatakse arendaja, kohalike omavalitsuste ja kogukondade koostöös positiivseid sekkumisi piirkonna sotsiaalmajandusliku mõju suurendamiseks, näiteks esmateenuste võrgustiku arendamine, elamuturu elavdamine, taristu ajakohastamine ja ettevõtluskeskkonna tugevdamine.“</w:t>
      </w:r>
    </w:p>
    <w:p w14:paraId="4542566B" w14:textId="77777777" w:rsidR="00035A51" w:rsidRDefault="00035A51">
      <w:pPr>
        <w:pStyle w:val="Loendilik"/>
        <w:rPr>
          <w:rFonts w:ascii="Times New Roman" w:hAnsi="Times New Roman" w:cs="Times New Roman"/>
        </w:rPr>
      </w:pPr>
    </w:p>
    <w:p w14:paraId="1CFA33BF" w14:textId="77777777" w:rsidR="00035A51" w:rsidRDefault="00000000">
      <w:pPr>
        <w:pStyle w:val="Loendilik"/>
        <w:rPr>
          <w:rFonts w:ascii="Times New Roman" w:hAnsi="Times New Roman" w:cs="Times New Roman"/>
        </w:rPr>
      </w:pPr>
      <w:r>
        <w:rPr>
          <w:rFonts w:ascii="Times New Roman" w:hAnsi="Times New Roman" w:cs="Times New Roman"/>
        </w:rPr>
        <w:t xml:space="preserve">Põhjendus: Harjutusväljadel toimuv tegevus on riigikaitse seisukohalt oluline, kuid selle mõju koondub ruumiliselt harjutusväljade lähedal asuvatesse kogukondadesse ja omavalitsustesse. Mõju ei piirdu üksnes mürahäiringute või ajutiste liikumispiirangutega, vaid võib puudutada elukoha atraktiivsust, kinnisvara väärtust, turismi, ettevõtlusinvesteeringuid, inimeste turvatunnet, piirkonna kuvandit ning kohalike omavalitsuste võimet pakkuda kvaliteetseid teenuseid. Idapiirialade raportis rõhutatakse, et idapiirialadel kuhjuvad mitmed mõjud: geopoliitiline ebakindlus, </w:t>
      </w:r>
      <w:proofErr w:type="spellStart"/>
      <w:r>
        <w:rPr>
          <w:rFonts w:ascii="Times New Roman" w:hAnsi="Times New Roman" w:cs="Times New Roman"/>
        </w:rPr>
        <w:t>riigikaitselised</w:t>
      </w:r>
      <w:proofErr w:type="spellEnd"/>
      <w:r>
        <w:rPr>
          <w:rFonts w:ascii="Times New Roman" w:hAnsi="Times New Roman" w:cs="Times New Roman"/>
        </w:rPr>
        <w:t xml:space="preserve"> piirangud, piiri- ja militaarrajatised, negatiivne meediakuvand, investeerimisjulguse vähenemine ning pikaajaline rahvastikukadu. Võru maakonnas lisanduvad sellele </w:t>
      </w:r>
      <w:proofErr w:type="spellStart"/>
      <w:r>
        <w:rPr>
          <w:rFonts w:ascii="Times New Roman" w:hAnsi="Times New Roman" w:cs="Times New Roman"/>
        </w:rPr>
        <w:t>Nursipalu</w:t>
      </w:r>
      <w:proofErr w:type="spellEnd"/>
      <w:r>
        <w:rPr>
          <w:rFonts w:ascii="Times New Roman" w:hAnsi="Times New Roman" w:cs="Times New Roman"/>
        </w:rPr>
        <w:t xml:space="preserve"> harjutusvälja laiendamisega seotud häiringud ja tajutav ebakindlus, mis võivad võimendada ääremaastumise tunnet ning vähendada elanike ja ettevõtjate valmisolekut siduda end piirkonnaga pikaajaliselt. Seetõttu ei piisa harjutusaladega kaasnevate mõjude käsitlemisel üksnes tehnilistest leevendusmeetmetest. Planeeringus tuleb sõnastada põhimõte, et riigikaitseliste objektide arendamisega kaasneb arendaja, riigi, </w:t>
      </w:r>
      <w:r>
        <w:rPr>
          <w:rFonts w:ascii="Times New Roman" w:hAnsi="Times New Roman" w:cs="Times New Roman"/>
        </w:rPr>
        <w:lastRenderedPageBreak/>
        <w:t>kohalike omavalitsuste ja kogukondade koostöös kokkulepitud positiivse sotsiaalmajandusliku mõju pakett. See võib hõlmata näiteks kohalike teede ja sideühenduste parandamist, elamufondi ja avaliku ruumi arendamist, ettevõtluskeskkonna tugevdamist, teenuste kättesaadavuse parandamist, kogukondade kriisivalmiduse suurendamist ning piirkonna kuvandi teadlikku parandamist.</w:t>
      </w:r>
    </w:p>
    <w:p w14:paraId="459FD6F1" w14:textId="77777777" w:rsidR="00035A51" w:rsidRDefault="00035A51">
      <w:pPr>
        <w:pStyle w:val="Loendilik"/>
        <w:rPr>
          <w:rFonts w:ascii="Times New Roman" w:hAnsi="Times New Roman" w:cs="Times New Roman"/>
        </w:rPr>
      </w:pPr>
    </w:p>
    <w:p w14:paraId="2005AA01" w14:textId="77777777" w:rsidR="00035A51" w:rsidRDefault="00000000">
      <w:pPr>
        <w:pStyle w:val="Loendilik"/>
        <w:numPr>
          <w:ilvl w:val="0"/>
          <w:numId w:val="1"/>
        </w:numPr>
        <w:rPr>
          <w:rFonts w:ascii="Times New Roman" w:hAnsi="Times New Roman" w:cs="Times New Roman"/>
        </w:rPr>
      </w:pPr>
      <w:r>
        <w:rPr>
          <w:rFonts w:ascii="Times New Roman" w:hAnsi="Times New Roman" w:cs="Times New Roman"/>
        </w:rPr>
        <w:t>Leheküljel 20 skeemil 7 on märgitud, et Ida-Virumaal tuleb tagada energia ja muu tehnilise taristu kliimakindlus.</w:t>
      </w:r>
    </w:p>
    <w:p w14:paraId="1457A2A9" w14:textId="77777777" w:rsidR="00035A51" w:rsidRDefault="00035A51">
      <w:pPr>
        <w:pStyle w:val="Loendilik"/>
        <w:rPr>
          <w:rFonts w:ascii="Times New Roman" w:hAnsi="Times New Roman" w:cs="Times New Roman"/>
        </w:rPr>
      </w:pPr>
    </w:p>
    <w:p w14:paraId="0107ED03" w14:textId="77777777" w:rsidR="00035A51" w:rsidRDefault="00000000">
      <w:pPr>
        <w:pStyle w:val="Loendilik"/>
        <w:rPr>
          <w:rFonts w:ascii="Times New Roman" w:hAnsi="Times New Roman" w:cs="Times New Roman"/>
        </w:rPr>
      </w:pPr>
      <w:r>
        <w:rPr>
          <w:rFonts w:ascii="Times New Roman" w:hAnsi="Times New Roman" w:cs="Times New Roman"/>
        </w:rPr>
        <w:t>Ettepanek: Lisada skeemile ka Kagu-Eesti ning sõnastada põhimõte järgmiselt: „Ida-Virumaal ja Kagu-Eestis tuleb tagada energia ja muu tehnilise taristu kliimakindlus.“</w:t>
      </w:r>
    </w:p>
    <w:p w14:paraId="281C47BC" w14:textId="77777777" w:rsidR="00035A51" w:rsidRDefault="00035A51">
      <w:pPr>
        <w:pStyle w:val="Loendilik"/>
        <w:rPr>
          <w:rFonts w:ascii="Times New Roman" w:hAnsi="Times New Roman" w:cs="Times New Roman"/>
        </w:rPr>
      </w:pPr>
    </w:p>
    <w:p w14:paraId="5FF8C140" w14:textId="77777777" w:rsidR="00035A51" w:rsidRDefault="00000000">
      <w:pPr>
        <w:pStyle w:val="Loendilik"/>
        <w:rPr>
          <w:rFonts w:ascii="Times New Roman" w:hAnsi="Times New Roman" w:cs="Times New Roman"/>
        </w:rPr>
      </w:pPr>
      <w:r>
        <w:rPr>
          <w:rFonts w:ascii="Times New Roman" w:hAnsi="Times New Roman" w:cs="Times New Roman"/>
        </w:rPr>
        <w:t xml:space="preserve">Põhjendus: Kagu-Eesti lisamine energia ja muu tehnilise taristu kliimakindluse käsitlusse on vajalik, sest piirkonna </w:t>
      </w:r>
      <w:proofErr w:type="spellStart"/>
      <w:r>
        <w:rPr>
          <w:rFonts w:ascii="Times New Roman" w:hAnsi="Times New Roman" w:cs="Times New Roman"/>
        </w:rPr>
        <w:t>taristuline</w:t>
      </w:r>
      <w:proofErr w:type="spellEnd"/>
      <w:r>
        <w:rPr>
          <w:rFonts w:ascii="Times New Roman" w:hAnsi="Times New Roman" w:cs="Times New Roman"/>
        </w:rPr>
        <w:t xml:space="preserve"> haavatavus on Eesti keskmisest suurem.</w:t>
      </w:r>
    </w:p>
    <w:p w14:paraId="651AA44E" w14:textId="77777777" w:rsidR="00035A51" w:rsidRDefault="00000000">
      <w:pPr>
        <w:pStyle w:val="Loendilik"/>
      </w:pPr>
      <w:r>
        <w:rPr>
          <w:rFonts w:ascii="Times New Roman" w:hAnsi="Times New Roman" w:cs="Times New Roman"/>
        </w:rPr>
        <w:t>Riigikontroll on auditis „Regionaalarengu juhtimine Kagu-Eesti näitel“ (</w:t>
      </w:r>
      <w:hyperlink r:id="rId8" w:history="1">
        <w:r>
          <w:rPr>
            <w:rStyle w:val="Hperlink"/>
            <w:rFonts w:ascii="Times New Roman" w:hAnsi="Times New Roman" w:cs="Times New Roman"/>
          </w:rPr>
          <w:t>https://www.riigikontroll.ee/auditiaruanded/regionaalarengu-juhtimine-kagu-eesti-naitel</w:t>
        </w:r>
      </w:hyperlink>
      <w:r>
        <w:rPr>
          <w:rFonts w:ascii="Times New Roman" w:hAnsi="Times New Roman" w:cs="Times New Roman"/>
        </w:rPr>
        <w:t>) toonud välja, et üle 3 minuti kestvaid elektrikatkestusi on Kagu-Eestis olnud perioodil 2018–2024 suhteliselt enam kui mujal Eestis. Rikete keskmise arvu poolest 1000 tarbimiskoha kohta aastas on kõik kolm Kagu-Eesti maakonda maakondade pingerea tipus ning ületavad Eesti keskmist vähemalt kolmandiku võrra. See tähendab, et isegi juhul, kui rikkeid likvideeritakse nõuetekohaselt, mõjutavad sagedased katkestused oluliselt kohalike elanike igapäevaelu, avalike teenuste toimepidevust, ettevõtete tootmiskindlust, hädaolukordadeks valmisolekut ja piirkonna investeerimisatraktiivsust. Idapiirialade raportis rõhutatakse täiendavalt, et Kagu-Eesti energiataristu on hajus, vananev ja katkestustele tundlik ning piirkonnas on probleemiks ka vaba elektrivõimsuse nappus, mis piirab tootmise laiendamist ja energiamahukate investeeringute kaasamist. Seetõttu tuleb planeeringus nimetada Kagu-Eesti Ida-Virumaa kõrval eraldi piirkonnana, kus energia- ja tehnilise taristu tugevdamine vajab riiklikku prioriteeti ning kus investeeringute kavandamisel tuleb arvestada kliimariskide, katkestuskindluse ja riigikaitseliste piirangute koosmõjuga.</w:t>
      </w:r>
    </w:p>
    <w:p w14:paraId="4A1E23A5" w14:textId="77777777" w:rsidR="00035A51" w:rsidRDefault="00035A51">
      <w:pPr>
        <w:pStyle w:val="Loendilik"/>
        <w:rPr>
          <w:rFonts w:ascii="Times New Roman" w:hAnsi="Times New Roman" w:cs="Times New Roman"/>
        </w:rPr>
      </w:pPr>
    </w:p>
    <w:p w14:paraId="014A4C95" w14:textId="77777777" w:rsidR="00035A51" w:rsidRDefault="00000000">
      <w:pPr>
        <w:pStyle w:val="Loendilik"/>
        <w:numPr>
          <w:ilvl w:val="0"/>
          <w:numId w:val="1"/>
        </w:numPr>
        <w:rPr>
          <w:rFonts w:ascii="Times New Roman" w:hAnsi="Times New Roman" w:cs="Times New Roman"/>
        </w:rPr>
      </w:pPr>
      <w:r>
        <w:rPr>
          <w:rFonts w:ascii="Times New Roman" w:hAnsi="Times New Roman" w:cs="Times New Roman"/>
        </w:rPr>
        <w:t>Punkt 3.3.2 „Raudtee kui asustuse selgroog“.</w:t>
      </w:r>
    </w:p>
    <w:p w14:paraId="1A68A93A" w14:textId="77777777" w:rsidR="00035A51" w:rsidRDefault="00035A51">
      <w:pPr>
        <w:pStyle w:val="Loendilik"/>
        <w:rPr>
          <w:rFonts w:ascii="Times New Roman" w:hAnsi="Times New Roman" w:cs="Times New Roman"/>
        </w:rPr>
      </w:pPr>
    </w:p>
    <w:p w14:paraId="3C30D948" w14:textId="77777777" w:rsidR="00035A51" w:rsidRDefault="00000000">
      <w:pPr>
        <w:pStyle w:val="Loendilik"/>
        <w:rPr>
          <w:rFonts w:ascii="Times New Roman" w:hAnsi="Times New Roman" w:cs="Times New Roman"/>
        </w:rPr>
      </w:pPr>
      <w:r>
        <w:rPr>
          <w:rFonts w:ascii="Times New Roman" w:hAnsi="Times New Roman" w:cs="Times New Roman"/>
        </w:rPr>
        <w:t>Ettepanek: Lisada punkti 3 loetellu Võru–Põlva perspektiivne raudtee.</w:t>
      </w:r>
    </w:p>
    <w:p w14:paraId="390C81E0" w14:textId="77777777" w:rsidR="00035A51" w:rsidRDefault="00035A51">
      <w:pPr>
        <w:pStyle w:val="Loendilik"/>
        <w:rPr>
          <w:rFonts w:ascii="Times New Roman" w:hAnsi="Times New Roman" w:cs="Times New Roman"/>
        </w:rPr>
      </w:pPr>
    </w:p>
    <w:p w14:paraId="2FDF40F3" w14:textId="77777777" w:rsidR="00035A51" w:rsidRDefault="00000000">
      <w:pPr>
        <w:pStyle w:val="Loendilik"/>
      </w:pPr>
      <w:r>
        <w:rPr>
          <w:rFonts w:ascii="Times New Roman" w:hAnsi="Times New Roman" w:cs="Times New Roman"/>
        </w:rPr>
        <w:t>Põhjendus: Võru linn on ainus Lõuna-Eesti maakonnakeskus, millel puudub reisirongiliiklus. See asetab Võru maakonna elanikud, ettevõtjad ja avalike teenuste kasutajad liikuvuse mõttes ebavõrdsesse olukorda. Üleriigilise planeeringu eelnõus rõhutatakse rööbastranspordi rolli kestliku liikuvuse selgroona. Kui seda põhimõtet rakendatakse valikuliselt ja Võru maakond jääb tuleviku reisirongiliiklusest kõrvale, kinnistab planeering olemasolevat ruumilist ebavõrdsust ning jätab piirkonna liikuvuse mõttes tupikusse. Võru–Põlva perspektiivne raudtee looks ühenduse Tartu ja Tallinna suunaliste liikumisvõimalustega, parandaks tööjõu ja õppijate liikuvust, toetaks turismi, vähendaks sõltuvust autost ning tugevdaks riigi kohalolu piiriäärses regioonis. Põlva–Võru raudtee rajamine on toodud välja ka dokumendis „Lõuna-Eesti ettevõtluskeskkonna edendamise arengulepe“ (</w:t>
      </w:r>
      <w:hyperlink r:id="rId9" w:history="1">
        <w:r>
          <w:rPr>
            <w:rStyle w:val="Hperlink"/>
            <w:rFonts w:ascii="Times New Roman" w:hAnsi="Times New Roman" w:cs="Times New Roman"/>
          </w:rPr>
          <w:t>https://www.agri.ee/regionaalareng-</w:t>
        </w:r>
        <w:r>
          <w:rPr>
            <w:rStyle w:val="Hperlink"/>
            <w:rFonts w:ascii="Times New Roman" w:hAnsi="Times New Roman" w:cs="Times New Roman"/>
          </w:rPr>
          <w:lastRenderedPageBreak/>
          <w:t>uhistransport/regionaalareng-ja-poliitika/regionaalsed-arengulepped#dokumendid-ja-viited</w:t>
        </w:r>
      </w:hyperlink>
      <w:r>
        <w:rPr>
          <w:rFonts w:ascii="Times New Roman" w:hAnsi="Times New Roman" w:cs="Times New Roman"/>
        </w:rPr>
        <w:t>). Võru–Põlva raudtee lisamine üleriigilisse planeeringusse loob ruumilise eelduse, et kaaluda läbi kõik võimalikud lahendused Võru maakonna keskuse sidumiseks üleriigilise reisirongiliiklusega.</w:t>
      </w:r>
    </w:p>
    <w:p w14:paraId="22CB6433" w14:textId="77777777" w:rsidR="00035A51" w:rsidRDefault="00035A51">
      <w:pPr>
        <w:pStyle w:val="Loendilik"/>
        <w:rPr>
          <w:rFonts w:ascii="Times New Roman" w:hAnsi="Times New Roman" w:cs="Times New Roman"/>
        </w:rPr>
      </w:pPr>
    </w:p>
    <w:p w14:paraId="6FCFBBA9" w14:textId="77777777" w:rsidR="00035A51" w:rsidRDefault="00000000">
      <w:pPr>
        <w:pStyle w:val="Loendilik"/>
        <w:numPr>
          <w:ilvl w:val="0"/>
          <w:numId w:val="1"/>
        </w:numPr>
      </w:pPr>
      <w:r>
        <w:rPr>
          <w:rFonts w:ascii="Times New Roman" w:hAnsi="Times New Roman" w:cs="Times New Roman"/>
          <w:sz w:val="24"/>
          <w:szCs w:val="24"/>
        </w:rPr>
        <w:t xml:space="preserve">Punkti 3.7.4 punktis 4 on märgitud, et põhi- ja tugimaanteid tuleb käsitleda ka kaitsekoridoridena, mis peavad tagama </w:t>
      </w:r>
      <w:proofErr w:type="spellStart"/>
      <w:r>
        <w:rPr>
          <w:rFonts w:ascii="Times New Roman" w:hAnsi="Times New Roman" w:cs="Times New Roman"/>
          <w:sz w:val="24"/>
          <w:szCs w:val="24"/>
        </w:rPr>
        <w:t>riigikaitselise</w:t>
      </w:r>
      <w:proofErr w:type="spellEnd"/>
      <w:r>
        <w:rPr>
          <w:rFonts w:ascii="Times New Roman" w:hAnsi="Times New Roman" w:cs="Times New Roman"/>
          <w:sz w:val="24"/>
          <w:szCs w:val="24"/>
        </w:rPr>
        <w:t xml:space="preserve"> liikuvuse. Oluline on, et maanteetaristu rajatistel, sealhulgas sildadel, ristmikel ja ristetel, oleks piisav kandevõime rasketehnika liikumiseks.</w:t>
      </w:r>
    </w:p>
    <w:p w14:paraId="0F5F3902" w14:textId="77777777" w:rsidR="00035A51" w:rsidRDefault="00000000">
      <w:pPr>
        <w:ind w:left="708"/>
      </w:pPr>
      <w:r>
        <w:rPr>
          <w:rFonts w:ascii="Times New Roman" w:hAnsi="Times New Roman" w:cs="Times New Roman"/>
          <w:sz w:val="24"/>
          <w:szCs w:val="24"/>
        </w:rPr>
        <w:t>Ettepanek: Lisada põhimõte Eesti–Vene kontrolljoone äärsete riigi- ja kohalike teede korrastamise kohta.</w:t>
      </w:r>
    </w:p>
    <w:p w14:paraId="531AC9E2" w14:textId="77777777" w:rsidR="00035A51" w:rsidRDefault="00000000">
      <w:pPr>
        <w:ind w:left="708"/>
      </w:pPr>
      <w:r>
        <w:rPr>
          <w:rFonts w:ascii="Times New Roman" w:hAnsi="Times New Roman" w:cs="Times New Roman"/>
          <w:sz w:val="24"/>
          <w:szCs w:val="24"/>
        </w:rPr>
        <w:t xml:space="preserve">Põhjendus: Eesti–Vene kontrolljoone äärsete teede korrastamine on oluline </w:t>
      </w:r>
      <w:proofErr w:type="spellStart"/>
      <w:r>
        <w:rPr>
          <w:rFonts w:ascii="Times New Roman" w:hAnsi="Times New Roman" w:cs="Times New Roman"/>
          <w:sz w:val="24"/>
          <w:szCs w:val="24"/>
        </w:rPr>
        <w:t>riigikaitselise</w:t>
      </w:r>
      <w:proofErr w:type="spellEnd"/>
      <w:r>
        <w:rPr>
          <w:rFonts w:ascii="Times New Roman" w:hAnsi="Times New Roman" w:cs="Times New Roman"/>
          <w:sz w:val="24"/>
          <w:szCs w:val="24"/>
        </w:rPr>
        <w:t xml:space="preserve"> liikuvuse, piirivalve, päästevõimekuse ja kohalike elanike igapäevase liikumisvõimaluse seisukohalt. Üleriigilise planeeringu punktis 3.7.4 rõhutatakse põhi- ja tugimaanteede käsitlemist kaitsekoridoridena ning maanteetaristu kandevõime tagamist rasketehnika liikumiseks. Sama põhimõte tuleb laiendada ka kontrolljoone vahetus läheduses paiknevatele riigi- ja kohalikele teedele, sest kriisiolukorras ei sõltu piirialade toimimine üksnes suurematest maanteedest, vaid ka nendega seotud kõrval-, juurdepääsu- ja ühendusteedest. Nende kaudu toimub piirivalve patrullimine, pääste- ja korrakaitseasutuste ligipääs piirialadele ning vajaduse korral elanike evakuatsioon või abi kohale toimetamine.</w:t>
      </w:r>
    </w:p>
    <w:p w14:paraId="45BFB9DE" w14:textId="77777777" w:rsidR="00035A51" w:rsidRDefault="00035A51">
      <w:pPr>
        <w:pStyle w:val="Loendilik"/>
        <w:rPr>
          <w:rFonts w:ascii="Times New Roman" w:hAnsi="Times New Roman" w:cs="Times New Roman"/>
        </w:rPr>
      </w:pPr>
    </w:p>
    <w:p w14:paraId="674A6086" w14:textId="77777777" w:rsidR="00035A51" w:rsidRDefault="00000000">
      <w:pPr>
        <w:pStyle w:val="Loendilik"/>
        <w:numPr>
          <w:ilvl w:val="0"/>
          <w:numId w:val="1"/>
        </w:numPr>
        <w:rPr>
          <w:rFonts w:ascii="Times New Roman" w:hAnsi="Times New Roman" w:cs="Times New Roman"/>
        </w:rPr>
      </w:pPr>
      <w:r>
        <w:rPr>
          <w:rFonts w:ascii="Times New Roman" w:hAnsi="Times New Roman" w:cs="Times New Roman"/>
        </w:rPr>
        <w:t>Lk 42 skeem 10.</w:t>
      </w:r>
    </w:p>
    <w:p w14:paraId="2B65DD95" w14:textId="77777777" w:rsidR="00035A51" w:rsidRDefault="00000000">
      <w:pPr>
        <w:pStyle w:val="Loendilik"/>
        <w:rPr>
          <w:rFonts w:ascii="Times New Roman" w:hAnsi="Times New Roman" w:cs="Times New Roman"/>
        </w:rPr>
      </w:pPr>
      <w:r>
        <w:rPr>
          <w:rFonts w:ascii="Times New Roman" w:hAnsi="Times New Roman" w:cs="Times New Roman"/>
        </w:rPr>
        <w:t>Ettepanek: Lisada kaardile Võru–Põlva perspektiivne raudtee. Põhjendus on toodud punktis 4.</w:t>
      </w:r>
    </w:p>
    <w:p w14:paraId="7DF25BFE" w14:textId="77777777" w:rsidR="00035A51" w:rsidRDefault="00035A51">
      <w:pPr>
        <w:pStyle w:val="Loendilik"/>
        <w:rPr>
          <w:rFonts w:ascii="Times New Roman" w:hAnsi="Times New Roman" w:cs="Times New Roman"/>
        </w:rPr>
      </w:pPr>
    </w:p>
    <w:p w14:paraId="55C00852" w14:textId="77777777" w:rsidR="00035A51" w:rsidRDefault="00035A51">
      <w:pPr>
        <w:pStyle w:val="Loendilik"/>
        <w:rPr>
          <w:rFonts w:ascii="Times New Roman" w:hAnsi="Times New Roman" w:cs="Times New Roman"/>
        </w:rPr>
      </w:pPr>
    </w:p>
    <w:p w14:paraId="430C251B" w14:textId="77777777" w:rsidR="00035A51" w:rsidRDefault="00000000">
      <w:pPr>
        <w:pStyle w:val="Loendilik"/>
        <w:numPr>
          <w:ilvl w:val="0"/>
          <w:numId w:val="1"/>
        </w:numPr>
        <w:rPr>
          <w:rFonts w:ascii="Times New Roman" w:hAnsi="Times New Roman" w:cs="Times New Roman"/>
        </w:rPr>
      </w:pPr>
      <w:r>
        <w:rPr>
          <w:rFonts w:ascii="Times New Roman" w:hAnsi="Times New Roman" w:cs="Times New Roman"/>
        </w:rPr>
        <w:t>Punkt 3.8.2, punkt 1.</w:t>
      </w:r>
    </w:p>
    <w:p w14:paraId="43F84530" w14:textId="77777777" w:rsidR="00035A51" w:rsidRDefault="00000000">
      <w:pPr>
        <w:pStyle w:val="Loendilik"/>
      </w:pPr>
      <w:r>
        <w:rPr>
          <w:rFonts w:ascii="Times New Roman" w:hAnsi="Times New Roman" w:cs="Times New Roman"/>
        </w:rPr>
        <w:t xml:space="preserve">Ettepanek: Lisada teksti kaldkirjas olev lause: „Energia tootmise ruumiline korraldus muutub – keskne tootmine taastumatutest ressurssidest Ida-Virumaal asendub mitmekesise ja hajusama kliimaneutraalse energiatootmisega ja -salvestusega üle Eesti. Taastuvenergeetika arendamisel võetakse arvesse </w:t>
      </w:r>
      <w:proofErr w:type="spellStart"/>
      <w:r>
        <w:rPr>
          <w:rFonts w:ascii="Times New Roman" w:hAnsi="Times New Roman" w:cs="Times New Roman"/>
        </w:rPr>
        <w:t>riigikaitselisi</w:t>
      </w:r>
      <w:proofErr w:type="spellEnd"/>
      <w:r>
        <w:rPr>
          <w:rFonts w:ascii="Times New Roman" w:hAnsi="Times New Roman" w:cs="Times New Roman"/>
        </w:rPr>
        <w:t xml:space="preserve"> piiranguid. </w:t>
      </w:r>
      <w:r>
        <w:rPr>
          <w:rFonts w:ascii="Times New Roman" w:hAnsi="Times New Roman" w:cs="Times New Roman"/>
          <w:i/>
          <w:iCs/>
        </w:rPr>
        <w:t>Riigikaitseliste piirangutega aladel leitakse alternatiivseid taastuvenergia tootmise viise</w:t>
      </w:r>
      <w:r>
        <w:rPr>
          <w:rFonts w:ascii="Times New Roman" w:hAnsi="Times New Roman" w:cs="Times New Roman"/>
          <w:i/>
        </w:rPr>
        <w:t>.</w:t>
      </w:r>
      <w:r>
        <w:rPr>
          <w:rFonts w:ascii="Times New Roman" w:hAnsi="Times New Roman" w:cs="Times New Roman"/>
        </w:rPr>
        <w:t xml:space="preserve"> Hajus tootmine elavdab maapiirkondade ettevõtlust ja toetab asustuse säilimist kahanemisega kohanevas maalises asustuses. Välja arendatakse riiklik seiresüsteem tuuleparkide kumulatiivse mõju jälgimiseks.“</w:t>
      </w:r>
    </w:p>
    <w:p w14:paraId="26832E1D" w14:textId="77777777" w:rsidR="00035A51" w:rsidRDefault="00035A51">
      <w:pPr>
        <w:pStyle w:val="Loendilik"/>
        <w:rPr>
          <w:rFonts w:ascii="Times New Roman" w:hAnsi="Times New Roman" w:cs="Times New Roman"/>
        </w:rPr>
      </w:pPr>
    </w:p>
    <w:p w14:paraId="118CC2B0" w14:textId="77777777" w:rsidR="00035A51" w:rsidRDefault="00000000">
      <w:pPr>
        <w:pStyle w:val="Loendilik"/>
        <w:rPr>
          <w:rFonts w:ascii="Times New Roman" w:hAnsi="Times New Roman" w:cs="Times New Roman"/>
        </w:rPr>
      </w:pPr>
      <w:r>
        <w:rPr>
          <w:rFonts w:ascii="Times New Roman" w:hAnsi="Times New Roman" w:cs="Times New Roman"/>
        </w:rPr>
        <w:t xml:space="preserve">Põhjendus: Taastuvenergeetika arendamise </w:t>
      </w:r>
      <w:proofErr w:type="spellStart"/>
      <w:r>
        <w:rPr>
          <w:rFonts w:ascii="Times New Roman" w:hAnsi="Times New Roman" w:cs="Times New Roman"/>
        </w:rPr>
        <w:t>riigikaitselised</w:t>
      </w:r>
      <w:proofErr w:type="spellEnd"/>
      <w:r>
        <w:rPr>
          <w:rFonts w:ascii="Times New Roman" w:hAnsi="Times New Roman" w:cs="Times New Roman"/>
        </w:rPr>
        <w:t xml:space="preserve"> piirangud seavad piirkonnad, kus piirangud kehtivad, majanduslikult ebavõrdsesse olukorda võrreldes piirkondadega, kus on võimalik arendada suuremahulisi tuule- ja päikeseparke. Piirangute mõju ei väljendu üksnes üksikute arendusprojektide ärajäämises, vaid mõjutab ka tööstusinvesteeringute ligimeelitamist, ettevõtete energiakulusid, kohalike omavalitsuste tulubaasi ning elanike energiakindlust. Idapiirialade raportis rõhutatakse, et idapiirialadel on suuremahuline taastuvenergia tootmine mitmel juhul riigikaitseliste piirangute tõttu takistatud, samal ajal kui </w:t>
      </w:r>
      <w:r>
        <w:rPr>
          <w:rFonts w:ascii="Times New Roman" w:hAnsi="Times New Roman" w:cs="Times New Roman"/>
        </w:rPr>
        <w:lastRenderedPageBreak/>
        <w:t xml:space="preserve">Kagu-Eesti energiataristu on hajus, vananev ja katkestustele tundlik. Riigikontrolli audit kinnitab, et Kagu-Eestis on elektrivõrgu rikete sagedus Eesti keskmisest suurem ning riigile kuuluva taristu arendamise vajadus on kohati suurem kui mujal Eestis. Seetõttu tuleb planeeringus sõnastada tasakaalustav põhimõte: kui </w:t>
      </w:r>
      <w:proofErr w:type="spellStart"/>
      <w:r>
        <w:rPr>
          <w:rFonts w:ascii="Times New Roman" w:hAnsi="Times New Roman" w:cs="Times New Roman"/>
        </w:rPr>
        <w:t>riigikaitselised</w:t>
      </w:r>
      <w:proofErr w:type="spellEnd"/>
      <w:r>
        <w:rPr>
          <w:rFonts w:ascii="Times New Roman" w:hAnsi="Times New Roman" w:cs="Times New Roman"/>
        </w:rPr>
        <w:t xml:space="preserve"> piirangud välistavad või oluliselt piiravad tavapäraseid taastuvenergia arendusvõimalusi, peab riik koostöös piirkonna partneritega kavandama alternatiivseid lahendusi.</w:t>
      </w:r>
    </w:p>
    <w:p w14:paraId="60159D99" w14:textId="77777777" w:rsidR="00035A51" w:rsidRDefault="00035A51">
      <w:pPr>
        <w:rPr>
          <w:rFonts w:ascii="Times New Roman" w:hAnsi="Times New Roman" w:cs="Times New Roman"/>
        </w:rPr>
      </w:pPr>
    </w:p>
    <w:p w14:paraId="384BD13F" w14:textId="77777777" w:rsidR="00035A51" w:rsidRDefault="00035A51">
      <w:pPr>
        <w:rPr>
          <w:rFonts w:ascii="Times New Roman" w:hAnsi="Times New Roman" w:cs="Times New Roman"/>
        </w:rPr>
      </w:pPr>
    </w:p>
    <w:p w14:paraId="4FA72F7C" w14:textId="77777777" w:rsidR="00035A51" w:rsidRDefault="00035A51">
      <w:pPr>
        <w:rPr>
          <w:rFonts w:ascii="Times New Roman" w:hAnsi="Times New Roman" w:cs="Times New Roman"/>
        </w:rPr>
      </w:pPr>
    </w:p>
    <w:sectPr w:rsidR="00035A5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C5F5" w14:textId="77777777" w:rsidR="005850D3" w:rsidRDefault="005850D3">
      <w:pPr>
        <w:spacing w:after="0" w:line="240" w:lineRule="auto"/>
      </w:pPr>
      <w:r>
        <w:separator/>
      </w:r>
    </w:p>
  </w:endnote>
  <w:endnote w:type="continuationSeparator" w:id="0">
    <w:p w14:paraId="3D451FA2" w14:textId="77777777" w:rsidR="005850D3" w:rsidRDefault="0058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0A5B" w14:textId="77777777" w:rsidR="005850D3" w:rsidRDefault="005850D3">
      <w:pPr>
        <w:spacing w:after="0" w:line="240" w:lineRule="auto"/>
      </w:pPr>
      <w:r>
        <w:rPr>
          <w:color w:val="000000"/>
        </w:rPr>
        <w:separator/>
      </w:r>
    </w:p>
  </w:footnote>
  <w:footnote w:type="continuationSeparator" w:id="0">
    <w:p w14:paraId="64B8F877" w14:textId="77777777" w:rsidR="005850D3" w:rsidRDefault="0058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6D8C"/>
    <w:multiLevelType w:val="multilevel"/>
    <w:tmpl w:val="C3F40AE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6188650">
    <w:abstractNumId w:val="0"/>
  </w:num>
  <w:num w:numId="2" w16cid:durableId="13343377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35A51"/>
    <w:rsid w:val="00035A51"/>
    <w:rsid w:val="005850D3"/>
    <w:rsid w:val="00830C27"/>
    <w:rsid w:val="00B142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0FE7"/>
  <w15:docId w15:val="{349B86C5-71BF-4941-8D90-EC0B60FF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t-E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Normaallaad"/>
    <w:uiPriority w:val="9"/>
    <w:qFormat/>
    <w:pPr>
      <w:keepNext/>
      <w:keepLines/>
      <w:spacing w:before="360" w:after="80"/>
      <w:outlineLvl w:val="0"/>
    </w:pPr>
    <w:rPr>
      <w:rFonts w:ascii="Calibri Light" w:eastAsia="Yu Gothic Light" w:hAnsi="Calibri Light" w:cs="Times New Roman"/>
      <w:color w:val="2F5496"/>
      <w:sz w:val="40"/>
      <w:szCs w:val="40"/>
    </w:rPr>
  </w:style>
  <w:style w:type="paragraph" w:styleId="Pealkiri2">
    <w:name w:val="heading 2"/>
    <w:basedOn w:val="Normaallaad"/>
    <w:next w:val="Normaallaad"/>
    <w:uiPriority w:val="9"/>
    <w:semiHidden/>
    <w:unhideWhenUsed/>
    <w:qFormat/>
    <w:pPr>
      <w:keepNext/>
      <w:keepLines/>
      <w:spacing w:before="160" w:after="80"/>
      <w:outlineLvl w:val="1"/>
    </w:pPr>
    <w:rPr>
      <w:rFonts w:ascii="Calibri Light" w:eastAsia="Yu Gothic Light" w:hAnsi="Calibri Light" w:cs="Times New Roman"/>
      <w:color w:val="2F5496"/>
      <w:sz w:val="32"/>
      <w:szCs w:val="32"/>
    </w:rPr>
  </w:style>
  <w:style w:type="paragraph" w:styleId="Pealkiri3">
    <w:name w:val="heading 3"/>
    <w:basedOn w:val="Normaallaad"/>
    <w:next w:val="Normaallaad"/>
    <w:uiPriority w:val="9"/>
    <w:semiHidden/>
    <w:unhideWhenUsed/>
    <w:qFormat/>
    <w:pPr>
      <w:keepNext/>
      <w:keepLines/>
      <w:spacing w:before="160" w:after="80"/>
      <w:outlineLvl w:val="2"/>
    </w:pPr>
    <w:rPr>
      <w:rFonts w:eastAsia="Yu Gothic Light" w:cs="Times New Roman"/>
      <w:color w:val="2F5496"/>
      <w:sz w:val="28"/>
      <w:szCs w:val="28"/>
    </w:rPr>
  </w:style>
  <w:style w:type="paragraph" w:styleId="Pealkiri4">
    <w:name w:val="heading 4"/>
    <w:basedOn w:val="Normaallaad"/>
    <w:next w:val="Normaallaad"/>
    <w:uiPriority w:val="9"/>
    <w:semiHidden/>
    <w:unhideWhenUsed/>
    <w:qFormat/>
    <w:pPr>
      <w:keepNext/>
      <w:keepLines/>
      <w:spacing w:before="80" w:after="40"/>
      <w:outlineLvl w:val="3"/>
    </w:pPr>
    <w:rPr>
      <w:rFonts w:eastAsia="Yu Gothic Light" w:cs="Times New Roman"/>
      <w:i/>
      <w:iCs/>
      <w:color w:val="2F5496"/>
    </w:rPr>
  </w:style>
  <w:style w:type="paragraph" w:styleId="Pealkiri5">
    <w:name w:val="heading 5"/>
    <w:basedOn w:val="Normaallaad"/>
    <w:next w:val="Normaallaad"/>
    <w:uiPriority w:val="9"/>
    <w:semiHidden/>
    <w:unhideWhenUsed/>
    <w:qFormat/>
    <w:pPr>
      <w:keepNext/>
      <w:keepLines/>
      <w:spacing w:before="80" w:after="40"/>
      <w:outlineLvl w:val="4"/>
    </w:pPr>
    <w:rPr>
      <w:rFonts w:eastAsia="Yu Gothic Light" w:cs="Times New Roman"/>
      <w:color w:val="2F5496"/>
    </w:rPr>
  </w:style>
  <w:style w:type="paragraph" w:styleId="Pealkiri6">
    <w:name w:val="heading 6"/>
    <w:basedOn w:val="Normaallaad"/>
    <w:next w:val="Normaallaad"/>
    <w:uiPriority w:val="9"/>
    <w:semiHidden/>
    <w:unhideWhenUsed/>
    <w:qFormat/>
    <w:pPr>
      <w:keepNext/>
      <w:keepLines/>
      <w:spacing w:before="40" w:after="0"/>
      <w:outlineLvl w:val="5"/>
    </w:pPr>
    <w:rPr>
      <w:rFonts w:eastAsia="Yu Gothic Light" w:cs="Times New Roman"/>
      <w:i/>
      <w:iCs/>
      <w:color w:val="595959"/>
    </w:rPr>
  </w:style>
  <w:style w:type="paragraph" w:styleId="Pealkiri7">
    <w:name w:val="heading 7"/>
    <w:basedOn w:val="Normaallaad"/>
    <w:next w:val="Normaallaad"/>
    <w:pPr>
      <w:keepNext/>
      <w:keepLines/>
      <w:spacing w:before="40" w:after="0"/>
      <w:outlineLvl w:val="6"/>
    </w:pPr>
    <w:rPr>
      <w:rFonts w:eastAsia="Yu Gothic Light" w:cs="Times New Roman"/>
      <w:color w:val="595959"/>
    </w:rPr>
  </w:style>
  <w:style w:type="paragraph" w:styleId="Pealkiri8">
    <w:name w:val="heading 8"/>
    <w:basedOn w:val="Normaallaad"/>
    <w:next w:val="Normaallaad"/>
    <w:pPr>
      <w:keepNext/>
      <w:keepLines/>
      <w:spacing w:after="0"/>
      <w:outlineLvl w:val="7"/>
    </w:pPr>
    <w:rPr>
      <w:rFonts w:eastAsia="Yu Gothic Light" w:cs="Times New Roman"/>
      <w:i/>
      <w:iCs/>
      <w:color w:val="272727"/>
    </w:rPr>
  </w:style>
  <w:style w:type="paragraph" w:styleId="Pealkiri9">
    <w:name w:val="heading 9"/>
    <w:basedOn w:val="Normaallaad"/>
    <w:next w:val="Normaallaad"/>
    <w:pPr>
      <w:keepNext/>
      <w:keepLines/>
      <w:spacing w:after="0"/>
      <w:outlineLvl w:val="8"/>
    </w:pPr>
    <w:rPr>
      <w:rFonts w:eastAsia="Yu Gothic Light" w:cs="Times New Roman"/>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Char">
    <w:name w:val="Heading 1 Char"/>
    <w:basedOn w:val="Liguvaikefont"/>
    <w:rPr>
      <w:rFonts w:ascii="Calibri Light" w:eastAsia="Yu Gothic Light" w:hAnsi="Calibri Light" w:cs="Times New Roman"/>
      <w:color w:val="2F5496"/>
      <w:sz w:val="40"/>
      <w:szCs w:val="40"/>
    </w:rPr>
  </w:style>
  <w:style w:type="character" w:customStyle="1" w:styleId="Heading2Char">
    <w:name w:val="Heading 2 Char"/>
    <w:basedOn w:val="Liguvaikefont"/>
    <w:rPr>
      <w:rFonts w:ascii="Calibri Light" w:eastAsia="Yu Gothic Light" w:hAnsi="Calibri Light" w:cs="Times New Roman"/>
      <w:color w:val="2F5496"/>
      <w:sz w:val="32"/>
      <w:szCs w:val="32"/>
    </w:rPr>
  </w:style>
  <w:style w:type="character" w:customStyle="1" w:styleId="Heading3Char">
    <w:name w:val="Heading 3 Char"/>
    <w:basedOn w:val="Liguvaikefont"/>
    <w:rPr>
      <w:rFonts w:eastAsia="Yu Gothic Light" w:cs="Times New Roman"/>
      <w:color w:val="2F5496"/>
      <w:sz w:val="28"/>
      <w:szCs w:val="28"/>
    </w:rPr>
  </w:style>
  <w:style w:type="character" w:customStyle="1" w:styleId="Heading4Char">
    <w:name w:val="Heading 4 Char"/>
    <w:basedOn w:val="Liguvaikefont"/>
    <w:rPr>
      <w:rFonts w:eastAsia="Yu Gothic Light" w:cs="Times New Roman"/>
      <w:i/>
      <w:iCs/>
      <w:color w:val="2F5496"/>
    </w:rPr>
  </w:style>
  <w:style w:type="character" w:customStyle="1" w:styleId="Heading5Char">
    <w:name w:val="Heading 5 Char"/>
    <w:basedOn w:val="Liguvaikefont"/>
    <w:rPr>
      <w:rFonts w:eastAsia="Yu Gothic Light" w:cs="Times New Roman"/>
      <w:color w:val="2F5496"/>
    </w:rPr>
  </w:style>
  <w:style w:type="character" w:customStyle="1" w:styleId="Heading6Char">
    <w:name w:val="Heading 6 Char"/>
    <w:basedOn w:val="Liguvaikefont"/>
    <w:rPr>
      <w:rFonts w:eastAsia="Yu Gothic Light" w:cs="Times New Roman"/>
      <w:i/>
      <w:iCs/>
      <w:color w:val="595959"/>
    </w:rPr>
  </w:style>
  <w:style w:type="character" w:customStyle="1" w:styleId="Heading7Char">
    <w:name w:val="Heading 7 Char"/>
    <w:basedOn w:val="Liguvaikefont"/>
    <w:rPr>
      <w:rFonts w:eastAsia="Yu Gothic Light" w:cs="Times New Roman"/>
      <w:color w:val="595959"/>
    </w:rPr>
  </w:style>
  <w:style w:type="character" w:customStyle="1" w:styleId="Heading8Char">
    <w:name w:val="Heading 8 Char"/>
    <w:basedOn w:val="Liguvaikefont"/>
    <w:rPr>
      <w:rFonts w:eastAsia="Yu Gothic Light" w:cs="Times New Roman"/>
      <w:i/>
      <w:iCs/>
      <w:color w:val="272727"/>
    </w:rPr>
  </w:style>
  <w:style w:type="character" w:customStyle="1" w:styleId="Heading9Char">
    <w:name w:val="Heading 9 Char"/>
    <w:basedOn w:val="Liguvaikefont"/>
    <w:rPr>
      <w:rFonts w:eastAsia="Yu Gothic Light" w:cs="Times New Roman"/>
      <w:color w:val="272727"/>
    </w:rPr>
  </w:style>
  <w:style w:type="paragraph" w:styleId="Pealkiri">
    <w:name w:val="Title"/>
    <w:basedOn w:val="Normaallaad"/>
    <w:next w:val="Normaallaad"/>
    <w:uiPriority w:val="10"/>
    <w:qFormat/>
    <w:pPr>
      <w:spacing w:after="80" w:line="240" w:lineRule="auto"/>
    </w:pPr>
    <w:rPr>
      <w:rFonts w:ascii="Calibri Light" w:eastAsia="Yu Gothic Light" w:hAnsi="Calibri Light" w:cs="Times New Roman"/>
      <w:spacing w:val="-10"/>
      <w:sz w:val="56"/>
      <w:szCs w:val="56"/>
    </w:rPr>
  </w:style>
  <w:style w:type="character" w:customStyle="1" w:styleId="TitleChar">
    <w:name w:val="Title Char"/>
    <w:basedOn w:val="Liguvaikefont"/>
    <w:rPr>
      <w:rFonts w:ascii="Calibri Light" w:eastAsia="Yu Gothic Light" w:hAnsi="Calibri Light" w:cs="Times New Roman"/>
      <w:spacing w:val="-10"/>
      <w:kern w:val="3"/>
      <w:sz w:val="56"/>
      <w:szCs w:val="56"/>
    </w:rPr>
  </w:style>
  <w:style w:type="paragraph" w:styleId="Alapealkiri">
    <w:name w:val="Subtitle"/>
    <w:basedOn w:val="Normaallaad"/>
    <w:next w:val="Normaallaad"/>
    <w:uiPriority w:val="11"/>
    <w:qFormat/>
    <w:rPr>
      <w:rFonts w:eastAsia="Yu Gothic Light" w:cs="Times New Roman"/>
      <w:color w:val="595959"/>
      <w:spacing w:val="15"/>
      <w:sz w:val="28"/>
      <w:szCs w:val="28"/>
    </w:rPr>
  </w:style>
  <w:style w:type="character" w:customStyle="1" w:styleId="SubtitleChar">
    <w:name w:val="Subtitle Char"/>
    <w:basedOn w:val="Liguvaikefont"/>
    <w:rPr>
      <w:rFonts w:eastAsia="Yu Gothic Light" w:cs="Times New Roman"/>
      <w:color w:val="595959"/>
      <w:spacing w:val="15"/>
      <w:sz w:val="28"/>
      <w:szCs w:val="28"/>
    </w:rPr>
  </w:style>
  <w:style w:type="paragraph" w:styleId="Tsitaat">
    <w:name w:val="Quote"/>
    <w:basedOn w:val="Normaallaad"/>
    <w:next w:val="Normaallaad"/>
    <w:pPr>
      <w:spacing w:before="160"/>
      <w:jc w:val="center"/>
    </w:pPr>
    <w:rPr>
      <w:i/>
      <w:iCs/>
      <w:color w:val="404040"/>
    </w:rPr>
  </w:style>
  <w:style w:type="character" w:customStyle="1" w:styleId="QuoteChar">
    <w:name w:val="Quote Char"/>
    <w:basedOn w:val="Liguvaikefont"/>
    <w:rPr>
      <w:i/>
      <w:iCs/>
      <w:color w:val="404040"/>
    </w:rPr>
  </w:style>
  <w:style w:type="paragraph" w:styleId="Loendilik">
    <w:name w:val="List Paragraph"/>
    <w:basedOn w:val="Normaallaad"/>
    <w:pPr>
      <w:ind w:left="720"/>
    </w:pPr>
  </w:style>
  <w:style w:type="character" w:styleId="Selgeltmrgatavrhutus">
    <w:name w:val="Intense Emphasis"/>
    <w:basedOn w:val="Liguvaikefont"/>
    <w:rPr>
      <w:i/>
      <w:iCs/>
      <w:color w:val="2F5496"/>
    </w:rPr>
  </w:style>
  <w:style w:type="paragraph" w:styleId="Selgeltmrgatavtsitaat">
    <w:name w:val="Intense Quote"/>
    <w:basedOn w:val="Normaallaad"/>
    <w:next w:val="Normaallaa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Liguvaikefont"/>
    <w:rPr>
      <w:i/>
      <w:iCs/>
      <w:color w:val="2F5496"/>
    </w:rPr>
  </w:style>
  <w:style w:type="character" w:styleId="Selgeltmrgatavviide">
    <w:name w:val="Intense Reference"/>
    <w:basedOn w:val="Liguvaikefont"/>
    <w:rPr>
      <w:b/>
      <w:bCs/>
      <w:smallCaps/>
      <w:color w:val="2F5496"/>
      <w:spacing w:val="5"/>
    </w:rPr>
  </w:style>
  <w:style w:type="character" w:customStyle="1" w:styleId="CommentReference">
    <w:name w:val="Comment Reference"/>
    <w:basedOn w:val="Liguvaikefont"/>
    <w:rPr>
      <w:sz w:val="16"/>
      <w:szCs w:val="16"/>
    </w:rPr>
  </w:style>
  <w:style w:type="paragraph" w:customStyle="1" w:styleId="CommentText">
    <w:name w:val="Comment Text"/>
    <w:basedOn w:val="Normaallaad"/>
    <w:pPr>
      <w:spacing w:line="240" w:lineRule="auto"/>
    </w:pPr>
    <w:rPr>
      <w:sz w:val="20"/>
      <w:szCs w:val="20"/>
    </w:rPr>
  </w:style>
  <w:style w:type="character" w:customStyle="1" w:styleId="CommentTextChar">
    <w:name w:val="Comment Text Char"/>
    <w:basedOn w:val="Liguvaikefont"/>
    <w:rPr>
      <w:sz w:val="20"/>
      <w:szCs w:val="2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perlink">
    <w:name w:val="Hyperlink"/>
    <w:basedOn w:val="Liguvaikefont"/>
    <w:rPr>
      <w:color w:val="0563C1"/>
      <w:u w:val="single"/>
    </w:rPr>
  </w:style>
  <w:style w:type="character" w:styleId="Lahendamatamainimine">
    <w:name w:val="Unresolved Mention"/>
    <w:basedOn w:val="Liguvaike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kontroll.ee/auditiaruanded/regionaalarengu-juhtimine-kagu-eesti-naitel" TargetMode="External"/><Relationship Id="rId3" Type="http://schemas.openxmlformats.org/officeDocument/2006/relationships/settings" Target="settings.xml"/><Relationship Id="rId7" Type="http://schemas.openxmlformats.org/officeDocument/2006/relationships/hyperlink" Target="https://agri.ee/uudised/idapiirialade-raport-rahvastikukadu-nouab-riigilt-selget-fookust-ja-terviklikku-lahenem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gri.ee/regionaalareng-uhistransport/regionaalareng-ja-poliitika/regionaalsed-arengulepped#dokumendid-ja-vii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9027</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Tiit Toots</dc:creator>
  <dc:description/>
  <cp:lastModifiedBy>Aivar Nigol</cp:lastModifiedBy>
  <cp:revision>2</cp:revision>
  <dcterms:created xsi:type="dcterms:W3CDTF">2026-07-20T08:36:00Z</dcterms:created>
  <dcterms:modified xsi:type="dcterms:W3CDTF">2026-07-20T08:36:00Z</dcterms:modified>
</cp:coreProperties>
</file>